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FE" w:rsidRPr="00B75CFE" w:rsidRDefault="00B75CFE" w:rsidP="00B75CFE">
      <w:pPr>
        <w:widowControl/>
        <w:spacing w:before="100" w:beforeAutospacing="1" w:after="100" w:afterAutospacing="1"/>
        <w:jc w:val="center"/>
        <w:rPr>
          <w:rFonts w:ascii="宋体" w:eastAsia="宋体" w:hAnsi="宋体" w:cs="宋体" w:hint="eastAsia"/>
          <w:b/>
          <w:kern w:val="0"/>
          <w:sz w:val="24"/>
          <w:szCs w:val="24"/>
        </w:rPr>
      </w:pPr>
      <w:r w:rsidRPr="00B75CFE">
        <w:rPr>
          <w:rFonts w:ascii="宋体" w:eastAsia="宋体" w:hAnsi="宋体" w:cs="宋体" w:hint="eastAsia"/>
          <w:b/>
          <w:kern w:val="0"/>
          <w:sz w:val="24"/>
          <w:szCs w:val="24"/>
        </w:rPr>
        <w:t>CRI显色评价系统及其在LED照明设计中的应用</w:t>
      </w:r>
    </w:p>
    <w:p w:rsidR="00B75CFE" w:rsidRPr="00B75CFE" w:rsidRDefault="00B75CFE" w:rsidP="00B75CFE">
      <w:pPr>
        <w:widowControl/>
        <w:spacing w:before="100" w:beforeAutospacing="1" w:after="100" w:afterAutospacing="1"/>
        <w:ind w:firstLineChars="200" w:firstLine="480"/>
        <w:jc w:val="left"/>
        <w:rPr>
          <w:rFonts w:ascii="宋体" w:eastAsia="宋体" w:hAnsi="宋体" w:cs="宋体"/>
          <w:kern w:val="0"/>
          <w:sz w:val="24"/>
          <w:szCs w:val="24"/>
        </w:rPr>
      </w:pPr>
      <w:r w:rsidRPr="00B75CFE">
        <w:rPr>
          <w:rFonts w:ascii="宋体" w:eastAsia="宋体" w:hAnsi="宋体" w:cs="宋体"/>
          <w:kern w:val="0"/>
          <w:sz w:val="24"/>
          <w:szCs w:val="24"/>
        </w:rPr>
        <w:t>CRI是指与标准的参考光源相比较，一个光源对物体颜色外貌所产生的效果。换句话说，CRI是一个光源与标准光源（例如日光）相比较下在颜色辨认方面的一种测量方式。它有15个标准色样，前面八个R1-R8是一般显色指数，后面R9-R15是特殊显色指数。</w:t>
      </w:r>
    </w:p>
    <w:p w:rsidR="00B75CFE" w:rsidRPr="00B75CFE" w:rsidRDefault="00B75CFE" w:rsidP="00B75CF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2085975"/>
            <wp:effectExtent l="19050" t="0" r="0" b="0"/>
            <wp:docPr id="1" name="图片 1" descr="http://images.ofweek.com/Upload/News/2014-12/AY/121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4-12/AY/1215/c1.jpg"/>
                    <pic:cNvPicPr>
                      <a:picLocks noChangeAspect="1" noChangeArrowheads="1"/>
                    </pic:cNvPicPr>
                  </pic:nvPicPr>
                  <pic:blipFill>
                    <a:blip r:embed="rId4"/>
                    <a:srcRect/>
                    <a:stretch>
                      <a:fillRect/>
                    </a:stretch>
                  </pic:blipFill>
                  <pic:spPr bwMode="auto">
                    <a:xfrm>
                      <a:off x="0" y="0"/>
                      <a:ext cx="4762500" cy="2085975"/>
                    </a:xfrm>
                    <a:prstGeom prst="rect">
                      <a:avLst/>
                    </a:prstGeom>
                    <a:noFill/>
                    <a:ln w="9525">
                      <a:noFill/>
                      <a:miter lim="800000"/>
                      <a:headEnd/>
                      <a:tailEnd/>
                    </a:ln>
                  </pic:spPr>
                </pic:pic>
              </a:graphicData>
            </a:graphic>
          </wp:inline>
        </w:drawing>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图：CRI体系中的14个色样（第15个为亚洲女性肤色）</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这跟咱们公司的KPI考核体系一样，有15个指标，8个基本指标，7个特殊指标，每个指标都有一个考核依据，也就是色样。</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对于基本指标，如果员工的工作表现完全符合这个指标的考核要求，就打100分，符合程度越低，得分越低，R1-R8的总评分越低，平均得分Ra就越低，表明这个员工的工作表现越差，你给他的基本薪水就越低。</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特殊指标我听说是你对以前的考核指标的全面性不满意，新加的，对基本指标的补充。并且计算方法不一样，还可能有负分。所以咱们的同事都对自我的要求比较高，怕你祭杀手锏，尤其是R9，您要求大家在专业的同时，还得做到红，用您的话说，叫又红又专。</w:t>
      </w:r>
    </w:p>
    <w:p w:rsidR="00B75CFE" w:rsidRPr="00B75CFE" w:rsidRDefault="00B75CFE" w:rsidP="00B75CF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38750" cy="3419475"/>
            <wp:effectExtent l="19050" t="0" r="0" b="0"/>
            <wp:docPr id="2" name="图片 2" descr="http://images.ofweek.com/Upload/News/2014-12/AY/121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4-12/AY/1215/c2.jpg"/>
                    <pic:cNvPicPr>
                      <a:picLocks noChangeAspect="1" noChangeArrowheads="1"/>
                    </pic:cNvPicPr>
                  </pic:nvPicPr>
                  <pic:blipFill>
                    <a:blip r:embed="rId5"/>
                    <a:srcRect/>
                    <a:stretch>
                      <a:fillRect/>
                    </a:stretch>
                  </pic:blipFill>
                  <pic:spPr bwMode="auto">
                    <a:xfrm>
                      <a:off x="0" y="0"/>
                      <a:ext cx="5238750" cy="3419475"/>
                    </a:xfrm>
                    <a:prstGeom prst="rect">
                      <a:avLst/>
                    </a:prstGeom>
                    <a:noFill/>
                    <a:ln w="9525">
                      <a:noFill/>
                      <a:miter lim="800000"/>
                      <a:headEnd/>
                      <a:tailEnd/>
                    </a:ln>
                  </pic:spPr>
                </pic:pic>
              </a:graphicData>
            </a:graphic>
          </wp:inline>
        </w:drawing>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图：特殊显色指数的计算方法</w:t>
      </w:r>
    </w:p>
    <w:p w:rsidR="00B75CFE" w:rsidRPr="00B75CFE" w:rsidRDefault="00B75CFE" w:rsidP="00B75CF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48275" cy="2771775"/>
            <wp:effectExtent l="19050" t="0" r="9525" b="0"/>
            <wp:docPr id="4" name="图片 4" descr="http://images.ofweek.com/Upload/News/2014-12/AY/121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4-12/AY/1215/c3.jpg"/>
                    <pic:cNvPicPr>
                      <a:picLocks noChangeAspect="1" noChangeArrowheads="1"/>
                    </pic:cNvPicPr>
                  </pic:nvPicPr>
                  <pic:blipFill>
                    <a:blip r:embed="rId6"/>
                    <a:srcRect/>
                    <a:stretch>
                      <a:fillRect/>
                    </a:stretch>
                  </pic:blipFill>
                  <pic:spPr bwMode="auto">
                    <a:xfrm>
                      <a:off x="0" y="0"/>
                      <a:ext cx="5248275" cy="2771775"/>
                    </a:xfrm>
                    <a:prstGeom prst="rect">
                      <a:avLst/>
                    </a:prstGeom>
                    <a:noFill/>
                    <a:ln w="9525">
                      <a:noFill/>
                      <a:miter lim="800000"/>
                      <a:headEnd/>
                      <a:tailEnd/>
                    </a:ln>
                  </pic:spPr>
                </pic:pic>
              </a:graphicData>
            </a:graphic>
          </wp:inline>
        </w:drawing>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图：CRI显色评价体系（咱们公司的KPI评分制度）</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但是，领导，CRI评价体系是有缺陷的。</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一方面，CRI参考光源是一个连续光谱，用它来衡量不连续光谱光源不是很合适。</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lastRenderedPageBreak/>
        <w:t xml:space="preserve">　　现在LED（窄谱）也在普及了，社会分工也越来越细了，需要的人才也不一样了，短板效应不再适用。有些同时某些方面比较差，某些方面特别突出，我们要去发挥他的特长。</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还有，有些同事是你考核什么做什么，得分很高，但是在他自己的工作上面，并没有给公司带来什么价值。归根到底，是咱们的考核制度落后于咱们公司发展了。</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另一方面，CRI的标准色选取的是中等饱和度的颜色，不能代表高饱和度的颜色。这种人才考核倒是符合咱们传统的中庸之道，但可能不是很适合个性特点比较强的90后员工。</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所以现在有很多新的管理办法，比如小米，也有很多新的颜色评价方法：</w:t>
      </w:r>
    </w:p>
    <w:p w:rsidR="00B75CFE" w:rsidRPr="00B75CFE" w:rsidRDefault="00B75CFE" w:rsidP="00B75CF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495800" cy="2914650"/>
            <wp:effectExtent l="19050" t="0" r="0" b="0"/>
            <wp:docPr id="5" name="图片 5" descr="http://images.ofweek.com/Upload/News/2014-12/AY/1215/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4-12/AY/1215/c4.jpg"/>
                    <pic:cNvPicPr>
                      <a:picLocks noChangeAspect="1" noChangeArrowheads="1"/>
                    </pic:cNvPicPr>
                  </pic:nvPicPr>
                  <pic:blipFill>
                    <a:blip r:embed="rId7"/>
                    <a:srcRect/>
                    <a:stretch>
                      <a:fillRect/>
                    </a:stretch>
                  </pic:blipFill>
                  <pic:spPr bwMode="auto">
                    <a:xfrm>
                      <a:off x="0" y="0"/>
                      <a:ext cx="4495800" cy="2914650"/>
                    </a:xfrm>
                    <a:prstGeom prst="rect">
                      <a:avLst/>
                    </a:prstGeom>
                    <a:noFill/>
                    <a:ln w="9525">
                      <a:noFill/>
                      <a:miter lim="800000"/>
                      <a:headEnd/>
                      <a:tailEnd/>
                    </a:ln>
                  </pic:spPr>
                </pic:pic>
              </a:graphicData>
            </a:graphic>
          </wp:inline>
        </w:drawing>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图：NIST的色品品质CQS评价模型</w:t>
      </w:r>
    </w:p>
    <w:p w:rsidR="00B75CFE" w:rsidRPr="00B75CFE" w:rsidRDefault="00B75CFE" w:rsidP="00B75CF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314825" cy="4781550"/>
            <wp:effectExtent l="19050" t="0" r="9525" b="0"/>
            <wp:docPr id="6" name="图片 6" descr="http://images.ofweek.com/Upload/News/2014-12/AY/1215/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4-12/AY/1215/c5.jpg"/>
                    <pic:cNvPicPr>
                      <a:picLocks noChangeAspect="1" noChangeArrowheads="1"/>
                    </pic:cNvPicPr>
                  </pic:nvPicPr>
                  <pic:blipFill>
                    <a:blip r:embed="rId8"/>
                    <a:srcRect/>
                    <a:stretch>
                      <a:fillRect/>
                    </a:stretch>
                  </pic:blipFill>
                  <pic:spPr bwMode="auto">
                    <a:xfrm>
                      <a:off x="0" y="0"/>
                      <a:ext cx="4314825" cy="4781550"/>
                    </a:xfrm>
                    <a:prstGeom prst="rect">
                      <a:avLst/>
                    </a:prstGeom>
                    <a:noFill/>
                    <a:ln w="9525">
                      <a:noFill/>
                      <a:miter lim="800000"/>
                      <a:headEnd/>
                      <a:tailEnd/>
                    </a:ln>
                  </pic:spPr>
                </pic:pic>
              </a:graphicData>
            </a:graphic>
          </wp:inline>
        </w:drawing>
      </w:r>
    </w:p>
    <w:p w:rsidR="00B75CFE" w:rsidRPr="00B75CFE" w:rsidRDefault="00B75CFE" w:rsidP="00B75CF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62375" cy="3429886"/>
            <wp:effectExtent l="19050" t="0" r="9525" b="0"/>
            <wp:docPr id="7" name="图片 7" descr="http://images.ofweek.com/Upload/News/2014-12/AY/121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4-12/AY/1215/c6.jpg"/>
                    <pic:cNvPicPr>
                      <a:picLocks noChangeAspect="1" noChangeArrowheads="1"/>
                    </pic:cNvPicPr>
                  </pic:nvPicPr>
                  <pic:blipFill>
                    <a:blip r:embed="rId9"/>
                    <a:srcRect/>
                    <a:stretch>
                      <a:fillRect/>
                    </a:stretch>
                  </pic:blipFill>
                  <pic:spPr bwMode="auto">
                    <a:xfrm>
                      <a:off x="0" y="0"/>
                      <a:ext cx="3762375" cy="3429886"/>
                    </a:xfrm>
                    <a:prstGeom prst="rect">
                      <a:avLst/>
                    </a:prstGeom>
                    <a:noFill/>
                    <a:ln w="9525">
                      <a:noFill/>
                      <a:miter lim="800000"/>
                      <a:headEnd/>
                      <a:tailEnd/>
                    </a:ln>
                  </pic:spPr>
                </pic:pic>
              </a:graphicData>
            </a:graphic>
          </wp:inline>
        </w:drawing>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lastRenderedPageBreak/>
        <w:t xml:space="preserve">　　图：ASSIST的GAI全色域指数评价模型。它使用等能光谱照明体作为参照光源，以被测光源照射下R1-R8的色域面积和标准光源照射下的面积之比作为指数。它是结合CRI一起使用的，需要注意的是，GAI高并不意味着所有的颜色都更生动，而是在某些特定色点的表现使得它的面积更大，因此应该综合图三来看具体产品的表现。根据它可以很灵活的按照具体应用需求来提高光源产品在某些特点色点的显色性，使之更鲜明生动。</w:t>
      </w:r>
    </w:p>
    <w:p w:rsidR="00B75CFE" w:rsidRPr="00B75CFE" w:rsidRDefault="00B75CFE" w:rsidP="00B75CFE">
      <w:pPr>
        <w:widowControl/>
        <w:spacing w:before="100" w:beforeAutospacing="1" w:after="100" w:afterAutospacing="1"/>
        <w:jc w:val="left"/>
        <w:rPr>
          <w:rFonts w:ascii="宋体" w:eastAsia="宋体" w:hAnsi="宋体" w:cs="宋体"/>
          <w:kern w:val="0"/>
          <w:sz w:val="24"/>
          <w:szCs w:val="24"/>
        </w:rPr>
      </w:pPr>
      <w:r w:rsidRPr="00B75CFE">
        <w:rPr>
          <w:rFonts w:ascii="宋体" w:eastAsia="宋体" w:hAnsi="宋体" w:cs="宋体"/>
          <w:kern w:val="0"/>
          <w:sz w:val="24"/>
          <w:szCs w:val="24"/>
        </w:rPr>
        <w:t xml:space="preserve">　　图片来源：普瑞、</w:t>
      </w:r>
      <w:proofErr w:type="spellStart"/>
      <w:r w:rsidRPr="00B75CFE">
        <w:rPr>
          <w:rFonts w:ascii="宋体" w:eastAsia="宋体" w:hAnsi="宋体" w:cs="宋体"/>
          <w:kern w:val="0"/>
          <w:sz w:val="24"/>
          <w:szCs w:val="24"/>
        </w:rPr>
        <w:t>xicato</w:t>
      </w:r>
      <w:proofErr w:type="spellEnd"/>
    </w:p>
    <w:p w:rsidR="00B75CFE" w:rsidRPr="00B75CFE" w:rsidRDefault="00B75CFE" w:rsidP="00B75CF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286250" cy="2209800"/>
            <wp:effectExtent l="19050" t="0" r="0" b="0"/>
            <wp:docPr id="9" name="图片 9" descr="http://images.ofweek.com/Upload/News/2014-12/AY/121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4-12/AY/1215/c7.jpg"/>
                    <pic:cNvPicPr>
                      <a:picLocks noChangeAspect="1" noChangeArrowheads="1"/>
                    </pic:cNvPicPr>
                  </pic:nvPicPr>
                  <pic:blipFill>
                    <a:blip r:embed="rId10"/>
                    <a:srcRect/>
                    <a:stretch>
                      <a:fillRect/>
                    </a:stretch>
                  </pic:blipFill>
                  <pic:spPr bwMode="auto">
                    <a:xfrm>
                      <a:off x="0" y="0"/>
                      <a:ext cx="4286250" cy="2209800"/>
                    </a:xfrm>
                    <a:prstGeom prst="rect">
                      <a:avLst/>
                    </a:prstGeom>
                    <a:noFill/>
                    <a:ln w="9525">
                      <a:noFill/>
                      <a:miter lim="800000"/>
                      <a:headEnd/>
                      <a:tailEnd/>
                    </a:ln>
                  </pic:spPr>
                </pic:pic>
              </a:graphicData>
            </a:graphic>
          </wp:inline>
        </w:drawing>
      </w:r>
    </w:p>
    <w:p w:rsidR="003D5916" w:rsidRPr="00B75CFE" w:rsidRDefault="003D5916"/>
    <w:sectPr w:rsidR="003D5916" w:rsidRPr="00B75CFE"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CFE"/>
    <w:rsid w:val="00000380"/>
    <w:rsid w:val="000007D6"/>
    <w:rsid w:val="00003092"/>
    <w:rsid w:val="000043EA"/>
    <w:rsid w:val="00006467"/>
    <w:rsid w:val="000075AA"/>
    <w:rsid w:val="0001097B"/>
    <w:rsid w:val="00010BCA"/>
    <w:rsid w:val="00011948"/>
    <w:rsid w:val="00011DF7"/>
    <w:rsid w:val="00011F72"/>
    <w:rsid w:val="000141CF"/>
    <w:rsid w:val="00014C8F"/>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3EAC"/>
    <w:rsid w:val="00137834"/>
    <w:rsid w:val="0014074D"/>
    <w:rsid w:val="00140ABB"/>
    <w:rsid w:val="00141458"/>
    <w:rsid w:val="0014264F"/>
    <w:rsid w:val="0014276F"/>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E1E2C"/>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4271"/>
    <w:rsid w:val="002F4450"/>
    <w:rsid w:val="002F4A82"/>
    <w:rsid w:val="002F605A"/>
    <w:rsid w:val="002F6D8D"/>
    <w:rsid w:val="002F78A3"/>
    <w:rsid w:val="0030027E"/>
    <w:rsid w:val="00301CDB"/>
    <w:rsid w:val="00304AD0"/>
    <w:rsid w:val="0030587F"/>
    <w:rsid w:val="003111A6"/>
    <w:rsid w:val="00311BAC"/>
    <w:rsid w:val="00313B86"/>
    <w:rsid w:val="00313D0F"/>
    <w:rsid w:val="00320C10"/>
    <w:rsid w:val="003214E0"/>
    <w:rsid w:val="003214FF"/>
    <w:rsid w:val="003222F5"/>
    <w:rsid w:val="003224EF"/>
    <w:rsid w:val="003227BB"/>
    <w:rsid w:val="003236D0"/>
    <w:rsid w:val="003261D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4869"/>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3449"/>
    <w:rsid w:val="006C479C"/>
    <w:rsid w:val="006C63F9"/>
    <w:rsid w:val="006C653E"/>
    <w:rsid w:val="006D4C13"/>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7BB"/>
    <w:rsid w:val="00777906"/>
    <w:rsid w:val="00777A94"/>
    <w:rsid w:val="00781C38"/>
    <w:rsid w:val="00781E7B"/>
    <w:rsid w:val="00782AF2"/>
    <w:rsid w:val="00782B5E"/>
    <w:rsid w:val="00784C01"/>
    <w:rsid w:val="007914AD"/>
    <w:rsid w:val="00792DD6"/>
    <w:rsid w:val="007931F8"/>
    <w:rsid w:val="007948CD"/>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452"/>
    <w:rsid w:val="00892CA1"/>
    <w:rsid w:val="0089507D"/>
    <w:rsid w:val="00896F75"/>
    <w:rsid w:val="00897ABC"/>
    <w:rsid w:val="008A1185"/>
    <w:rsid w:val="008A18BD"/>
    <w:rsid w:val="008A2C79"/>
    <w:rsid w:val="008A4F05"/>
    <w:rsid w:val="008A621B"/>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E29"/>
    <w:rsid w:val="008C56E9"/>
    <w:rsid w:val="008C68B6"/>
    <w:rsid w:val="008C6C9B"/>
    <w:rsid w:val="008C736C"/>
    <w:rsid w:val="008D13F2"/>
    <w:rsid w:val="008D26F7"/>
    <w:rsid w:val="008D3B55"/>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A003D7"/>
    <w:rsid w:val="00A0086E"/>
    <w:rsid w:val="00A00902"/>
    <w:rsid w:val="00A047F6"/>
    <w:rsid w:val="00A048EF"/>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1070"/>
    <w:rsid w:val="00B21BCA"/>
    <w:rsid w:val="00B22965"/>
    <w:rsid w:val="00B25773"/>
    <w:rsid w:val="00B27139"/>
    <w:rsid w:val="00B308CE"/>
    <w:rsid w:val="00B30A80"/>
    <w:rsid w:val="00B32433"/>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5CFE"/>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F74"/>
    <w:rsid w:val="00C2514B"/>
    <w:rsid w:val="00C27521"/>
    <w:rsid w:val="00C35E83"/>
    <w:rsid w:val="00C378CB"/>
    <w:rsid w:val="00C40674"/>
    <w:rsid w:val="00C40C56"/>
    <w:rsid w:val="00C410C5"/>
    <w:rsid w:val="00C43AAE"/>
    <w:rsid w:val="00C45429"/>
    <w:rsid w:val="00C4687C"/>
    <w:rsid w:val="00C46E1D"/>
    <w:rsid w:val="00C47D6B"/>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A1B38"/>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228"/>
    <w:rsid w:val="00CE69D3"/>
    <w:rsid w:val="00CE7D6E"/>
    <w:rsid w:val="00CF2A3F"/>
    <w:rsid w:val="00CF3359"/>
    <w:rsid w:val="00CF3615"/>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4909"/>
    <w:rsid w:val="00D452E3"/>
    <w:rsid w:val="00D465D0"/>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29E7"/>
    <w:rsid w:val="00DC30F0"/>
    <w:rsid w:val="00DC3601"/>
    <w:rsid w:val="00DC3B96"/>
    <w:rsid w:val="00DC5936"/>
    <w:rsid w:val="00DC7A2B"/>
    <w:rsid w:val="00DD0564"/>
    <w:rsid w:val="00DD0A0D"/>
    <w:rsid w:val="00DD219B"/>
    <w:rsid w:val="00DD269B"/>
    <w:rsid w:val="00DD2A8A"/>
    <w:rsid w:val="00DD36B2"/>
    <w:rsid w:val="00DD506C"/>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6EB7"/>
    <w:rsid w:val="00F4737D"/>
    <w:rsid w:val="00F47B98"/>
    <w:rsid w:val="00F50948"/>
    <w:rsid w:val="00F5118B"/>
    <w:rsid w:val="00F51482"/>
    <w:rsid w:val="00F54D88"/>
    <w:rsid w:val="00F61E97"/>
    <w:rsid w:val="00F63AF5"/>
    <w:rsid w:val="00F6544F"/>
    <w:rsid w:val="00F676A8"/>
    <w:rsid w:val="00F7300C"/>
    <w:rsid w:val="00F74B74"/>
    <w:rsid w:val="00F77F5E"/>
    <w:rsid w:val="00F8336E"/>
    <w:rsid w:val="00F844D8"/>
    <w:rsid w:val="00F85E02"/>
    <w:rsid w:val="00F96862"/>
    <w:rsid w:val="00F96C5D"/>
    <w:rsid w:val="00FA0E77"/>
    <w:rsid w:val="00FA1AA6"/>
    <w:rsid w:val="00FA30E4"/>
    <w:rsid w:val="00FA3C88"/>
    <w:rsid w:val="00FA47CC"/>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F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75CFE"/>
    <w:rPr>
      <w:sz w:val="18"/>
      <w:szCs w:val="18"/>
    </w:rPr>
  </w:style>
  <w:style w:type="character" w:customStyle="1" w:styleId="Char">
    <w:name w:val="批注框文本 Char"/>
    <w:basedOn w:val="a0"/>
    <w:link w:val="a4"/>
    <w:uiPriority w:val="99"/>
    <w:semiHidden/>
    <w:rsid w:val="00B75CFE"/>
    <w:rPr>
      <w:sz w:val="18"/>
      <w:szCs w:val="18"/>
    </w:rPr>
  </w:style>
</w:styles>
</file>

<file path=word/webSettings.xml><?xml version="1.0" encoding="utf-8"?>
<w:webSettings xmlns:r="http://schemas.openxmlformats.org/officeDocument/2006/relationships" xmlns:w="http://schemas.openxmlformats.org/wordprocessingml/2006/main">
  <w:divs>
    <w:div w:id="17708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Words>
  <Characters>924</Characters>
  <Application>Microsoft Office Word</Application>
  <DocSecurity>0</DocSecurity>
  <Lines>7</Lines>
  <Paragraphs>2</Paragraphs>
  <ScaleCrop>false</ScaleCrop>
  <Company>China</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2014-12-31T03:48:00Z</dcterms:created>
  <dcterms:modified xsi:type="dcterms:W3CDTF">2014-12-31T03:55:00Z</dcterms:modified>
</cp:coreProperties>
</file>